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9994" w:type="dxa"/>
        <w:tblInd w:w="-405" w:type="dxa"/>
        <w:tblCellMar>
          <w:top w:w="50" w:type="dxa"/>
        </w:tblCellMar>
        <w:tblLook w:val="04A0" w:firstRow="1" w:lastRow="0" w:firstColumn="1" w:lastColumn="0" w:noHBand="0" w:noVBand="1"/>
      </w:tblPr>
      <w:tblGrid>
        <w:gridCol w:w="4212"/>
        <w:gridCol w:w="5782"/>
      </w:tblGrid>
      <w:tr w:rsidR="009B7FCF" w:rsidTr="00F53231">
        <w:trPr>
          <w:trHeight w:val="1573"/>
        </w:trPr>
        <w:tc>
          <w:tcPr>
            <w:tcW w:w="4212" w:type="dxa"/>
            <w:tcBorders>
              <w:top w:val="nil"/>
              <w:left w:val="nil"/>
              <w:bottom w:val="nil"/>
              <w:right w:val="nil"/>
            </w:tcBorders>
          </w:tcPr>
          <w:p w:rsidR="009B7FCF" w:rsidRDefault="009B7FCF" w:rsidP="00F53231">
            <w:pPr>
              <w:spacing w:after="14"/>
              <w:ind w:left="60"/>
            </w:pPr>
            <w:r>
              <w:rPr>
                <w:rFonts w:ascii="Times New Roman" w:eastAsia="Times New Roman" w:hAnsi="Times New Roman" w:cs="Times New Roman"/>
                <w:sz w:val="26"/>
              </w:rPr>
              <w:t xml:space="preserve">UBND HUYỆN THANH MIỆN </w:t>
            </w:r>
          </w:p>
          <w:p w:rsidR="009B7FCF" w:rsidRDefault="009B7FCF" w:rsidP="00F53231">
            <w:r>
              <w:rPr>
                <w:rFonts w:ascii="Times New Roman" w:eastAsia="Times New Roman" w:hAnsi="Times New Roman" w:cs="Times New Roman"/>
                <w:b/>
                <w:sz w:val="26"/>
              </w:rPr>
              <w:t xml:space="preserve">TRƯỜNG MN HỒNG QUANG </w:t>
            </w:r>
          </w:p>
          <w:p w:rsidR="009B7FCF" w:rsidRDefault="001E42CD" w:rsidP="00F53231">
            <w:pPr>
              <w:spacing w:after="7"/>
              <w:ind w:left="403"/>
            </w:pPr>
            <w:r>
              <w:rPr>
                <w:rFonts w:ascii="Times New Roman" w:eastAsiaTheme="minorHAnsi" w:hAnsi="Times New Roman"/>
                <w:noProof/>
                <w:sz w:val="28"/>
                <w:lang w:val="en-US" w:eastAsia="en-US"/>
              </w:rPr>
            </w:r>
            <w:r>
              <w:rPr>
                <w:rFonts w:ascii="Times New Roman" w:eastAsiaTheme="minorHAnsi" w:hAnsi="Times New Roman"/>
                <w:noProof/>
                <w:sz w:val="28"/>
                <w:lang w:val="en-US" w:eastAsia="en-US"/>
              </w:rPr>
              <w:pict>
                <v:group id="_x0000_s1030" style="width:119.9pt;height:13.6pt;mso-position-horizontal-relative:char;mso-position-vertical-relative:line" coordsize="15227,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">
                  <v:shape id="Shape 1085" o:spid="_x0000_s1031" style="position:absolute;width:15227;height:0;visibility:visible" coordsize="15227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" adj="0,,0" path="m,l1522730,e" filled="f">
                    <v:stroke joinstyle="round"/>
                    <v:formulas/>
                    <v:path arrowok="t" o:connecttype="segments" textboxrect="0,0,1522730,0"/>
                  </v:shape>
                  <w10:wrap type="none"/>
                  <w10:anchorlock/>
                </v:group>
              </w:pict>
            </w:r>
          </w:p>
          <w:p w:rsidR="009B7FCF" w:rsidRDefault="009B7FCF" w:rsidP="00F53231">
            <w:pPr>
              <w:spacing w:after="15"/>
              <w:ind w:left="711"/>
            </w:pPr>
            <w:r>
              <w:rPr>
                <w:rFonts w:ascii="Times New Roman" w:eastAsia="Times New Roman" w:hAnsi="Times New Roman" w:cs="Times New Roman"/>
                <w:sz w:val="28"/>
              </w:rPr>
              <w:t>Số: 02/QĐ-</w:t>
            </w:r>
            <w:r>
              <w:rPr>
                <w:rFonts w:ascii="Times New Roman" w:eastAsia="Times New Roman" w:hAnsi="Times New Roman" w:cs="Times New Roman"/>
                <w:sz w:val="28"/>
                <w:lang w:val="en-US"/>
              </w:rPr>
              <w:t>Tr</w:t>
            </w:r>
            <w:r>
              <w:rPr>
                <w:rFonts w:ascii="Times New Roman" w:eastAsia="Times New Roman" w:hAnsi="Times New Roman" w:cs="Times New Roman"/>
                <w:sz w:val="28"/>
              </w:rPr>
              <w:t>MN</w:t>
            </w:r>
          </w:p>
          <w:p w:rsidR="009B7FCF" w:rsidRDefault="009B7FCF" w:rsidP="00F53231">
            <w:pPr>
              <w:ind w:left="405"/>
            </w:pPr>
          </w:p>
        </w:tc>
        <w:tc>
          <w:tcPr>
            <w:tcW w:w="5782" w:type="dxa"/>
            <w:tcBorders>
              <w:top w:val="nil"/>
              <w:left w:val="nil"/>
              <w:bottom w:val="nil"/>
              <w:right w:val="nil"/>
            </w:tcBorders>
          </w:tcPr>
          <w:p w:rsidR="009B7FCF" w:rsidRDefault="009B7FCF" w:rsidP="00F53231">
            <w:pPr>
              <w:spacing w:line="275" w:lineRule="auto"/>
              <w:ind w:left="1245" w:hanging="955"/>
              <w:jc w:val="both"/>
            </w:pPr>
            <w:r>
              <w:rPr>
                <w:rFonts w:ascii="Times New Roman" w:eastAsia="Times New Roman" w:hAnsi="Times New Roman" w:cs="Times New Roman"/>
                <w:b/>
                <w:sz w:val="26"/>
              </w:rPr>
              <w:t xml:space="preserve">CỘNG HÒA XÃ HỘI CHỦ NGHĨA VIỆT NAM </w:t>
            </w:r>
            <w:r>
              <w:rPr>
                <w:rFonts w:ascii="Times New Roman" w:eastAsia="Times New Roman" w:hAnsi="Times New Roman" w:cs="Times New Roman"/>
                <w:b/>
                <w:sz w:val="28"/>
              </w:rPr>
              <w:t xml:space="preserve">Độc lập – Tự do – Hạnh phúc </w:t>
            </w:r>
          </w:p>
          <w:p w:rsidR="009B7FCF" w:rsidRDefault="001E42CD" w:rsidP="00F53231">
            <w:pPr>
              <w:ind w:left="173"/>
              <w:jc w:val="center"/>
            </w:pPr>
            <w:r>
              <w:rPr>
                <w:rFonts w:ascii="Times New Roman" w:eastAsiaTheme="minorHAnsi" w:hAnsi="Times New Roman"/>
                <w:noProof/>
                <w:sz w:val="28"/>
                <w:lang w:val="en-US" w:eastAsia="en-US"/>
              </w:rPr>
            </w:r>
            <w:r>
              <w:rPr>
                <w:rFonts w:ascii="Times New Roman" w:eastAsiaTheme="minorHAnsi" w:hAnsi="Times New Roman"/>
                <w:noProof/>
                <w:sz w:val="28"/>
                <w:lang w:val="en-US" w:eastAsia="en-US"/>
              </w:rPr>
              <w:pict>
                <v:group id="_x0000_s1028" style="width:174.4pt;height:14.8pt;mso-position-horizontal-relative:char;mso-position-vertical-relative:line" coordsize="22148,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">
                  <v:shape id="Shape 1086" o:spid="_x0000_s1029" style="position:absolute;width:22148;height:0;visibility:visible" coordsize="221488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" adj="0,,0" path="m,l2214880,e" filled="f">
                    <v:stroke joinstyle="round"/>
                    <v:formulas/>
                    <v:path arrowok="t" o:connecttype="segments" textboxrect="0,0,2214880,0"/>
                  </v:shape>
                  <w10:wrap type="none"/>
                  <w10:anchorlock/>
                </v:group>
              </w:pict>
            </w:r>
          </w:p>
          <w:p w:rsidR="009B7FCF" w:rsidRDefault="009B7FCF" w:rsidP="00A34C35">
            <w:pPr>
              <w:ind w:left="550"/>
            </w:pPr>
            <w:r>
              <w:rPr>
                <w:rFonts w:ascii="Times New Roman" w:eastAsia="Times New Roman" w:hAnsi="Times New Roman" w:cs="Times New Roman"/>
                <w:i/>
                <w:sz w:val="28"/>
                <w:lang w:val="en-US"/>
              </w:rPr>
              <w:t xml:space="preserve">      </w:t>
            </w:r>
            <w:r>
              <w:rPr>
                <w:rFonts w:ascii="Times New Roman" w:eastAsia="Times New Roman" w:hAnsi="Times New Roman" w:cs="Times New Roman"/>
                <w:i/>
                <w:sz w:val="28"/>
              </w:rPr>
              <w:t xml:space="preserve"> Hồng Quang, ngày 0</w:t>
            </w:r>
            <w:r w:rsidR="00A34C35">
              <w:rPr>
                <w:rFonts w:ascii="Times New Roman" w:eastAsia="Times New Roman" w:hAnsi="Times New Roman" w:cs="Times New Roman"/>
                <w:i/>
                <w:sz w:val="28"/>
                <w:lang w:val="en-US"/>
              </w:rPr>
              <w:t>4</w:t>
            </w:r>
            <w:r>
              <w:rPr>
                <w:rFonts w:ascii="Times New Roman" w:eastAsia="Times New Roman" w:hAnsi="Times New Roman" w:cs="Times New Roman"/>
                <w:i/>
                <w:sz w:val="28"/>
              </w:rPr>
              <w:t xml:space="preserve"> tháng </w:t>
            </w:r>
            <w:r>
              <w:rPr>
                <w:rFonts w:ascii="Times New Roman" w:eastAsia="Times New Roman" w:hAnsi="Times New Roman" w:cs="Times New Roman"/>
                <w:i/>
                <w:sz w:val="28"/>
                <w:lang w:val="en-US"/>
              </w:rPr>
              <w:t>11</w:t>
            </w:r>
            <w:r>
              <w:rPr>
                <w:rFonts w:ascii="Times New Roman" w:eastAsia="Times New Roman" w:hAnsi="Times New Roman" w:cs="Times New Roman"/>
                <w:i/>
                <w:sz w:val="28"/>
              </w:rPr>
              <w:t xml:space="preserve"> năm 2024</w:t>
            </w:r>
          </w:p>
        </w:tc>
      </w:tr>
    </w:tbl>
    <w:p w:rsidR="009B7FCF" w:rsidRDefault="009B7FCF" w:rsidP="009B7FCF">
      <w:pPr>
        <w:pStyle w:val="Heading1"/>
        <w:jc w:val="center"/>
        <w:rPr>
          <w:lang w:val="en-US"/>
        </w:rPr>
      </w:pPr>
      <w:r>
        <w:t>QUYẾT ĐỊNH</w:t>
      </w:r>
      <w:r>
        <w:rPr>
          <w:lang w:val="en-US"/>
        </w:rPr>
        <w:t xml:space="preserve"> </w:t>
      </w:r>
    </w:p>
    <w:p w:rsidR="009B7FCF" w:rsidRDefault="009B7FCF" w:rsidP="009B7FCF">
      <w:pPr>
        <w:pStyle w:val="Heading1"/>
        <w:jc w:val="center"/>
        <w:rPr>
          <w:lang w:val="en-US"/>
        </w:rPr>
      </w:pPr>
      <w:r>
        <w:t>V/</w:t>
      </w:r>
      <w:r>
        <w:rPr>
          <w:lang w:val="en-US"/>
        </w:rPr>
        <w:t>v</w:t>
      </w:r>
      <w:r>
        <w:t xml:space="preserve"> </w:t>
      </w:r>
      <w:r>
        <w:rPr>
          <w:lang w:val="en-US"/>
        </w:rPr>
        <w:t>công khai các khoản thu góp, huy động</w:t>
      </w:r>
    </w:p>
    <w:p w:rsidR="009B7FCF" w:rsidRPr="009B7FCF" w:rsidRDefault="001E42CD" w:rsidP="009B7FCF">
      <w:pPr>
        <w:jc w:val="center"/>
        <w:rPr>
          <w:b/>
          <w:lang w:eastAsia="vi-VN"/>
        </w:rPr>
      </w:pPr>
      <w:r>
        <w:rPr>
          <w:b/>
          <w:noProof/>
        </w:rPr>
        <w:pict>
          <v:shapetype id="_x0000_t32" coordsize="21600,21600" o:spt="32" o:oned="t" path="m,l21600,21600e" filled="f">
            <v:path arrowok="t" fillok="f" o:connecttype="none"/>
            <o:lock v:ext="edit" shapetype="t"/>
          </v:shapetype>
          <v:shape id="_x0000_s1032" type="#_x0000_t32" style="position:absolute;left:0;text-align:left;margin-left:187.8pt;margin-top:15.8pt;width:114pt;height:0;z-index:251658240" o:connectortype="straight"/>
        </w:pict>
      </w:r>
      <w:r w:rsidR="009B7FCF" w:rsidRPr="009B7FCF">
        <w:rPr>
          <w:b/>
          <w:lang w:eastAsia="vi-VN"/>
        </w:rPr>
        <w:t>Năm họ</w:t>
      </w:r>
      <w:r w:rsidR="009B7FCF">
        <w:rPr>
          <w:b/>
          <w:lang w:eastAsia="vi-VN"/>
        </w:rPr>
        <w:t>c 2024 - 2025</w:t>
      </w:r>
    </w:p>
    <w:p w:rsidR="009B7FCF" w:rsidRDefault="009B7FCF" w:rsidP="009B7FCF">
      <w:pPr>
        <w:tabs>
          <w:tab w:val="center" w:pos="4294"/>
        </w:tabs>
        <w:spacing w:after="27"/>
      </w:pPr>
      <w:r>
        <w:rPr>
          <w:rFonts w:eastAsia="Times New Roman" w:cs="Times New Roman"/>
        </w:rPr>
        <w:tab/>
      </w:r>
    </w:p>
    <w:p w:rsidR="009B7FCF" w:rsidRDefault="009B7FCF" w:rsidP="009B7FCF">
      <w:pPr>
        <w:pStyle w:val="Heading1"/>
        <w:ind w:left="1276" w:right="0"/>
      </w:pPr>
      <w:r>
        <w:t xml:space="preserve">HIỆU TRƯỞNG TRƯỜNG MẦM NON HỒNG </w:t>
      </w:r>
      <w:r>
        <w:rPr>
          <w:lang w:val="en-US"/>
        </w:rPr>
        <w:t>QUAN</w:t>
      </w:r>
      <w:r>
        <w:t xml:space="preserve">G  </w:t>
      </w:r>
    </w:p>
    <w:p w:rsidR="009B7FCF" w:rsidRDefault="009B7FCF" w:rsidP="009B7FCF">
      <w:pPr>
        <w:spacing w:after="14"/>
        <w:ind w:left="62"/>
        <w:jc w:val="center"/>
      </w:pPr>
    </w:p>
    <w:p w:rsidR="009B7FCF" w:rsidRPr="009B7FCF" w:rsidRDefault="009B7FCF" w:rsidP="009B7FCF">
      <w:pPr>
        <w:spacing w:line="420" w:lineRule="atLeast"/>
        <w:ind w:firstLine="567"/>
        <w:rPr>
          <w:rFonts w:cs="Times New Roman"/>
          <w:i/>
          <w:szCs w:val="28"/>
        </w:rPr>
      </w:pPr>
      <w:r w:rsidRPr="009B7FCF">
        <w:rPr>
          <w:rFonts w:cs="Times New Roman"/>
          <w:i/>
          <w:szCs w:val="28"/>
        </w:rPr>
        <w:t>Căn cứ Thông tư số 61/2017/TT – BTC ngày 15 tháng 6 năm 2017 của Bộ tài chính hướng dẫn về công khai ngân sách đối với đơn vị dự toán ngân sách, tổ chức được ngân sách Nhà nước hỗ trợ.</w:t>
      </w:r>
    </w:p>
    <w:p w:rsidR="009B7FCF" w:rsidRPr="009B7FCF" w:rsidRDefault="009B7FCF" w:rsidP="009B7FCF">
      <w:pPr>
        <w:spacing w:line="420" w:lineRule="atLeast"/>
        <w:ind w:firstLine="551"/>
        <w:rPr>
          <w:rFonts w:cs="Times New Roman"/>
          <w:i/>
          <w:szCs w:val="28"/>
        </w:rPr>
      </w:pPr>
      <w:r w:rsidRPr="009B7FCF">
        <w:rPr>
          <w:i/>
          <w:color w:val="000000"/>
          <w:szCs w:val="28"/>
        </w:rPr>
        <w:t>Căn cứ thông tư 16/2018/TT-BGDĐT ngày 03 tháng 08 năm 2018 của Bộ Giáo dục và Đào tạo về việc quy định về tài trợ cho các cơ sở giáo dục thuộc hệ thống giáo dục quốc dân;</w:t>
      </w:r>
    </w:p>
    <w:p w:rsidR="009B7FCF" w:rsidRPr="009B7FCF" w:rsidRDefault="009B7FCF" w:rsidP="009B7FCF">
      <w:pPr>
        <w:spacing w:line="360" w:lineRule="atLeast"/>
        <w:ind w:firstLine="567"/>
        <w:outlineLvl w:val="0"/>
        <w:rPr>
          <w:i/>
          <w:color w:val="000000"/>
          <w:szCs w:val="28"/>
        </w:rPr>
      </w:pPr>
      <w:r w:rsidRPr="009B7FCF">
        <w:rPr>
          <w:bCs/>
          <w:i/>
          <w:spacing w:val="-4"/>
          <w:szCs w:val="28"/>
        </w:rPr>
        <w:t xml:space="preserve">Căn cứ Thông tư số </w:t>
      </w:r>
      <w:r w:rsidRPr="009B7FCF">
        <w:rPr>
          <w:i/>
          <w:color w:val="000000"/>
          <w:szCs w:val="28"/>
        </w:rPr>
        <w:t>09/2024/TT-BGDĐT ngày 03/6/2024 của Bộ GD&amp;ĐT ban hành Quy chế thực hiện công khai đối với cơ sở GD&amp;ĐT thuộc hệ thống giáo dục quốc dân;</w:t>
      </w:r>
    </w:p>
    <w:p w:rsidR="009B7FCF" w:rsidRPr="009B7FCF" w:rsidRDefault="009B7FCF" w:rsidP="009B7FCF">
      <w:pPr>
        <w:spacing w:line="360" w:lineRule="atLeast"/>
        <w:ind w:firstLine="567"/>
        <w:textAlignment w:val="baseline"/>
        <w:rPr>
          <w:i/>
          <w:lang w:val="pt-BR"/>
        </w:rPr>
      </w:pPr>
      <w:bookmarkStart w:id="0" w:name="_Hlk147485453"/>
      <w:r w:rsidRPr="009B7FCF">
        <w:rPr>
          <w:i/>
          <w:szCs w:val="28"/>
          <w:lang w:val="pt-BR"/>
        </w:rPr>
        <w:t>Thực hiện theo</w:t>
      </w:r>
      <w:r w:rsidRPr="009B7FCF">
        <w:rPr>
          <w:i/>
          <w:lang w:val="pt-BR"/>
        </w:rPr>
        <w:t xml:space="preserve"> Nghị quyết 17/2024/NQ-HĐND của Hội đồng nhân dân tỉnh Hải Dương quy định mức thu học phí và danh mục các khoản thu, mức thu, cơ chế quản lý thu, chi đối với các dịch vụ hỗ trợ hoạt động giáo dục tại các trường mầm non, giáo dục phổ thông công lập trên địa bàn tỉnh Hải Dương.</w:t>
      </w:r>
    </w:p>
    <w:bookmarkEnd w:id="0"/>
    <w:p w:rsidR="009B7FCF" w:rsidRDefault="009B7FCF" w:rsidP="009B7FCF">
      <w:pPr>
        <w:spacing w:after="173"/>
      </w:pPr>
    </w:p>
    <w:p w:rsidR="009B7FCF" w:rsidRDefault="009B7FCF" w:rsidP="009B7FCF">
      <w:pPr>
        <w:pStyle w:val="Heading1"/>
        <w:spacing w:after="0" w:line="259" w:lineRule="auto"/>
        <w:jc w:val="center"/>
      </w:pPr>
      <w:r>
        <w:t xml:space="preserve">QUYẾT ĐỊNH </w:t>
      </w:r>
    </w:p>
    <w:p w:rsidR="009B7FCF" w:rsidRDefault="009B7FCF" w:rsidP="009B7FCF">
      <w:pPr>
        <w:spacing w:after="183"/>
        <w:ind w:left="681"/>
      </w:pPr>
    </w:p>
    <w:p w:rsidR="009B7FCF" w:rsidRDefault="009B7FCF" w:rsidP="00A34C35">
      <w:pPr>
        <w:spacing w:line="440" w:lineRule="atLeast"/>
        <w:ind w:left="-5" w:firstLine="572"/>
      </w:pPr>
      <w:r>
        <w:rPr>
          <w:rFonts w:eastAsia="Times New Roman" w:cs="Times New Roman"/>
          <w:b/>
        </w:rPr>
        <w:t>Điều 1</w:t>
      </w:r>
      <w:r>
        <w:rPr>
          <w:rFonts w:eastAsia="Times New Roman" w:cs="Times New Roman"/>
        </w:rPr>
        <w:t xml:space="preserve">: Công bố công khai các khoản thu góp, huy động năm học 2024 – 2025 </w:t>
      </w:r>
      <w:r w:rsidRPr="009B7FCF">
        <w:rPr>
          <w:rFonts w:eastAsia="Times New Roman" w:cs="Times New Roman"/>
          <w:i/>
        </w:rPr>
        <w:t>(theo biểu đính kèm)</w:t>
      </w:r>
    </w:p>
    <w:p w:rsidR="009B7FCF" w:rsidRDefault="009B7FCF" w:rsidP="00A34C35">
      <w:pPr>
        <w:spacing w:line="440" w:lineRule="atLeast"/>
        <w:ind w:left="-15" w:firstLine="582"/>
      </w:pPr>
      <w:r>
        <w:rPr>
          <w:rFonts w:eastAsia="Times New Roman" w:cs="Times New Roman"/>
          <w:b/>
        </w:rPr>
        <w:t>Điều 2:</w:t>
      </w:r>
      <w:r>
        <w:rPr>
          <w:rFonts w:eastAsia="Times New Roman" w:cs="Times New Roman"/>
        </w:rPr>
        <w:t xml:space="preserve"> Quyết định này có hiệu lực kể từ ngày ký. </w:t>
      </w:r>
    </w:p>
    <w:p w:rsidR="009B7FCF" w:rsidRDefault="009B7FCF" w:rsidP="00A34C35">
      <w:pPr>
        <w:spacing w:line="440" w:lineRule="atLeast"/>
        <w:ind w:left="-5" w:firstLine="572"/>
      </w:pPr>
      <w:r>
        <w:rPr>
          <w:rFonts w:eastAsia="Times New Roman" w:cs="Times New Roman"/>
          <w:b/>
        </w:rPr>
        <w:t>Điều 3:</w:t>
      </w:r>
      <w:r>
        <w:rPr>
          <w:rFonts w:eastAsia="Times New Roman" w:cs="Times New Roman"/>
        </w:rPr>
        <w:t xml:space="preserve"> Bộ phận tài chính và cán bộ viên chức trong trường</w:t>
      </w:r>
      <w:r w:rsidR="00A34C35">
        <w:rPr>
          <w:rFonts w:eastAsia="Times New Roman" w:cs="Times New Roman"/>
        </w:rPr>
        <w:t xml:space="preserve"> chịu trách nhiệm tổ chức thực hiện </w:t>
      </w:r>
      <w:r>
        <w:rPr>
          <w:rFonts w:eastAsia="Times New Roman" w:cs="Times New Roman"/>
        </w:rPr>
        <w:t>quyết định</w:t>
      </w:r>
      <w:r w:rsidR="00A34C35">
        <w:rPr>
          <w:rFonts w:eastAsia="Times New Roman" w:cs="Times New Roman"/>
        </w:rPr>
        <w:t xml:space="preserve"> này</w:t>
      </w:r>
      <w:r>
        <w:rPr>
          <w:rFonts w:eastAsia="Times New Roman" w:cs="Times New Roman"/>
        </w:rPr>
        <w:t xml:space="preserve"> ./.</w:t>
      </w:r>
    </w:p>
    <w:p w:rsidR="009B7FCF" w:rsidRDefault="009B7FCF" w:rsidP="009B7FCF">
      <w:pPr>
        <w:spacing w:after="163"/>
      </w:pPr>
    </w:p>
    <w:p w:rsidR="009B7FCF" w:rsidRDefault="009B7FCF" w:rsidP="009B7FCF">
      <w:pPr>
        <w:pStyle w:val="Heading1"/>
        <w:tabs>
          <w:tab w:val="center" w:pos="6968"/>
        </w:tabs>
        <w:ind w:left="0" w:right="0" w:firstLine="0"/>
      </w:pPr>
      <w:r>
        <w:rPr>
          <w:sz w:val="24"/>
        </w:rPr>
        <w:t xml:space="preserve">Nơi nhận: </w:t>
      </w:r>
      <w:r>
        <w:rPr>
          <w:sz w:val="24"/>
        </w:rPr>
        <w:tab/>
      </w:r>
      <w:r>
        <w:t xml:space="preserve">HIỆU TRƯỞNG </w:t>
      </w:r>
    </w:p>
    <w:p w:rsidR="009B7FCF" w:rsidRPr="001E42CD" w:rsidRDefault="009B7FCF" w:rsidP="009B7FCF">
      <w:pPr>
        <w:ind w:left="111" w:right="2154"/>
        <w:rPr>
          <w:rFonts w:eastAsia="Times New Roman" w:cs="Times New Roman"/>
          <w:sz w:val="24"/>
        </w:rPr>
      </w:pPr>
      <w:r w:rsidRPr="005E790F">
        <w:rPr>
          <w:rFonts w:eastAsia="Times New Roman" w:cs="Times New Roman"/>
          <w:sz w:val="24"/>
          <w:lang w:val="vi-VN"/>
        </w:rPr>
        <w:t xml:space="preserve"> </w:t>
      </w:r>
      <w:r w:rsidR="00A34C35">
        <w:rPr>
          <w:rFonts w:eastAsia="Times New Roman" w:cs="Times New Roman"/>
          <w:sz w:val="24"/>
          <w:lang w:val="vi-VN"/>
        </w:rPr>
        <w:t xml:space="preserve">- </w:t>
      </w:r>
      <w:r w:rsidR="00A34C35">
        <w:rPr>
          <w:rFonts w:eastAsia="Times New Roman" w:cs="Times New Roman"/>
          <w:sz w:val="24"/>
        </w:rPr>
        <w:t>Bộ phận KT-TC</w:t>
      </w:r>
      <w:r w:rsidRPr="005E790F">
        <w:rPr>
          <w:rFonts w:eastAsia="Times New Roman" w:cs="Times New Roman"/>
          <w:b/>
          <w:i/>
          <w:sz w:val="24"/>
          <w:lang w:val="vi-VN"/>
        </w:rPr>
        <w:tab/>
      </w:r>
      <w:r w:rsidRPr="005E790F">
        <w:rPr>
          <w:rFonts w:eastAsia="Times New Roman" w:cs="Times New Roman"/>
          <w:sz w:val="24"/>
          <w:lang w:val="vi-VN"/>
        </w:rPr>
        <w:t xml:space="preserve"> </w:t>
      </w:r>
      <w:r w:rsidR="001E42CD">
        <w:rPr>
          <w:rFonts w:eastAsia="Times New Roman" w:cs="Times New Roman"/>
          <w:sz w:val="24"/>
        </w:rPr>
        <w:t xml:space="preserve">                                                                       (Đã ký)</w:t>
      </w:r>
    </w:p>
    <w:p w:rsidR="009B7FCF" w:rsidRPr="005E790F" w:rsidRDefault="009B7FCF" w:rsidP="009B7FCF">
      <w:pPr>
        <w:ind w:left="111" w:right="2154"/>
        <w:rPr>
          <w:lang w:val="vi-VN"/>
        </w:rPr>
      </w:pPr>
      <w:r w:rsidRPr="005E790F">
        <w:rPr>
          <w:rFonts w:eastAsia="Times New Roman" w:cs="Times New Roman"/>
          <w:sz w:val="24"/>
          <w:lang w:val="vi-VN"/>
        </w:rPr>
        <w:t xml:space="preserve"> - Lưu: VP.</w:t>
      </w:r>
      <w:r w:rsidRPr="005E790F">
        <w:rPr>
          <w:rFonts w:eastAsia="Times New Roman" w:cs="Times New Roman"/>
          <w:b/>
          <w:sz w:val="24"/>
          <w:lang w:val="vi-VN"/>
        </w:rPr>
        <w:tab/>
      </w:r>
    </w:p>
    <w:p w:rsidR="009B7FCF" w:rsidRDefault="001E42CD" w:rsidP="009B7FCF">
      <w:pPr>
        <w:ind w:left="172"/>
        <w:jc w:val="center"/>
      </w:pPr>
      <w:r>
        <w:t xml:space="preserve">        </w:t>
      </w:r>
    </w:p>
    <w:p w:rsidR="009B7FCF" w:rsidRPr="001E42CD" w:rsidRDefault="001E42CD" w:rsidP="001E42CD">
      <w:pPr>
        <w:ind w:left="172"/>
        <w:jc w:val="center"/>
        <w:rPr>
          <w:b/>
          <w:i/>
        </w:rPr>
      </w:pPr>
      <w:r>
        <w:t xml:space="preserve">                                                            </w:t>
      </w:r>
      <w:r w:rsidRPr="001E42CD">
        <w:rPr>
          <w:b/>
          <w:i/>
        </w:rPr>
        <w:t>Nhữ Thị Đượm</w:t>
      </w:r>
      <w:bookmarkStart w:id="1" w:name="_GoBack"/>
      <w:bookmarkEnd w:id="1"/>
    </w:p>
    <w:p w:rsidR="00155868" w:rsidRDefault="00155868" w:rsidP="00C72EAF">
      <w:pPr>
        <w:jc w:val="center"/>
        <w:rPr>
          <w:b/>
          <w:bCs/>
        </w:rPr>
      </w:pPr>
      <w:r>
        <w:rPr>
          <w:b/>
          <w:bCs/>
        </w:rPr>
        <w:lastRenderedPageBreak/>
        <w:t>DANH SÁCH</w:t>
      </w:r>
    </w:p>
    <w:p w:rsidR="00B215C6" w:rsidRPr="00C72EAF" w:rsidRDefault="00155868" w:rsidP="00C72EAF">
      <w:pPr>
        <w:jc w:val="center"/>
        <w:rPr>
          <w:b/>
          <w:bCs/>
        </w:rPr>
      </w:pPr>
      <w:r>
        <w:rPr>
          <w:b/>
          <w:bCs/>
        </w:rPr>
        <w:t xml:space="preserve"> CÔNG KHAI CÁC KHOẢN</w:t>
      </w:r>
      <w:r w:rsidR="00C72EAF" w:rsidRPr="00C72EAF">
        <w:rPr>
          <w:b/>
          <w:bCs/>
        </w:rPr>
        <w:t xml:space="preserve"> THU</w:t>
      </w:r>
      <w:r>
        <w:rPr>
          <w:b/>
          <w:bCs/>
        </w:rPr>
        <w:t>, GÓP HUY ĐỘNG ĐẦU NĂM</w:t>
      </w:r>
    </w:p>
    <w:p w:rsidR="00C72EAF" w:rsidRDefault="00C72EAF" w:rsidP="00C72EAF">
      <w:pPr>
        <w:jc w:val="center"/>
        <w:rPr>
          <w:b/>
          <w:bCs/>
        </w:rPr>
      </w:pPr>
      <w:r w:rsidRPr="00C72EAF">
        <w:rPr>
          <w:b/>
          <w:bCs/>
        </w:rPr>
        <w:t>NĂM HỌ</w:t>
      </w:r>
      <w:r w:rsidR="00F47C3A">
        <w:rPr>
          <w:b/>
          <w:bCs/>
        </w:rPr>
        <w:t>C 2024 – 2025</w:t>
      </w:r>
    </w:p>
    <w:p w:rsidR="00155868" w:rsidRPr="00155868" w:rsidRDefault="00155868" w:rsidP="00C72EAF">
      <w:pPr>
        <w:jc w:val="center"/>
        <w:rPr>
          <w:bCs/>
          <w:i/>
          <w:sz w:val="24"/>
          <w:szCs w:val="24"/>
        </w:rPr>
      </w:pPr>
      <w:r w:rsidRPr="00155868">
        <w:rPr>
          <w:bCs/>
          <w:i/>
          <w:sz w:val="24"/>
          <w:szCs w:val="24"/>
        </w:rPr>
        <w:t xml:space="preserve">(Kèm theo QĐ số: 02-TrMN, ngày </w:t>
      </w:r>
      <w:r w:rsidR="00A34C35">
        <w:rPr>
          <w:bCs/>
          <w:i/>
          <w:sz w:val="24"/>
          <w:szCs w:val="24"/>
        </w:rPr>
        <w:t>04</w:t>
      </w:r>
      <w:r w:rsidRPr="00155868">
        <w:rPr>
          <w:bCs/>
          <w:i/>
          <w:sz w:val="24"/>
          <w:szCs w:val="24"/>
        </w:rPr>
        <w:t xml:space="preserve"> tháng 11 năm 2024 của HT trường mầm non Hồng Quang)</w:t>
      </w:r>
    </w:p>
    <w:p w:rsidR="00C72EAF" w:rsidRPr="00C72EAF" w:rsidRDefault="00C72EAF" w:rsidP="00C72EAF">
      <w:pPr>
        <w:jc w:val="center"/>
        <w:rPr>
          <w:b/>
          <w:bCs/>
        </w:rPr>
      </w:pPr>
    </w:p>
    <w:tbl>
      <w:tblPr>
        <w:tblStyle w:val="TableGrid"/>
        <w:tblW w:w="10659" w:type="dxa"/>
        <w:tblInd w:w="-459" w:type="dxa"/>
        <w:tblLook w:val="04A0" w:firstRow="1" w:lastRow="0" w:firstColumn="1" w:lastColumn="0" w:noHBand="0" w:noVBand="1"/>
      </w:tblPr>
      <w:tblGrid>
        <w:gridCol w:w="590"/>
        <w:gridCol w:w="4655"/>
        <w:gridCol w:w="3016"/>
        <w:gridCol w:w="2398"/>
      </w:tblGrid>
      <w:tr w:rsidR="00C72EAF" w:rsidTr="00F47C3A">
        <w:tc>
          <w:tcPr>
            <w:tcW w:w="590" w:type="dxa"/>
          </w:tcPr>
          <w:p w:rsidR="00C72EAF" w:rsidRPr="00C72EAF" w:rsidRDefault="00C72EAF" w:rsidP="00C72EAF">
            <w:pPr>
              <w:jc w:val="center"/>
              <w:rPr>
                <w:b/>
                <w:bCs/>
              </w:rPr>
            </w:pPr>
            <w:r w:rsidRPr="00C72EAF">
              <w:rPr>
                <w:b/>
                <w:bCs/>
              </w:rPr>
              <w:t>TT</w:t>
            </w:r>
          </w:p>
        </w:tc>
        <w:tc>
          <w:tcPr>
            <w:tcW w:w="4655" w:type="dxa"/>
          </w:tcPr>
          <w:p w:rsidR="00C72EAF" w:rsidRPr="00C72EAF" w:rsidRDefault="00C72EAF" w:rsidP="00C72EAF">
            <w:pPr>
              <w:jc w:val="center"/>
              <w:rPr>
                <w:b/>
                <w:bCs/>
              </w:rPr>
            </w:pPr>
            <w:r w:rsidRPr="00C72EAF">
              <w:rPr>
                <w:b/>
                <w:bCs/>
              </w:rPr>
              <w:t>Các khoản thu</w:t>
            </w:r>
          </w:p>
        </w:tc>
        <w:tc>
          <w:tcPr>
            <w:tcW w:w="3016" w:type="dxa"/>
          </w:tcPr>
          <w:p w:rsidR="00C72EAF" w:rsidRPr="00C72EAF" w:rsidRDefault="00C72EAF" w:rsidP="00C72EAF">
            <w:pPr>
              <w:jc w:val="center"/>
              <w:rPr>
                <w:b/>
                <w:bCs/>
              </w:rPr>
            </w:pPr>
            <w:r w:rsidRPr="00C72EAF">
              <w:rPr>
                <w:b/>
                <w:bCs/>
              </w:rPr>
              <w:t>Mẫu giáo</w:t>
            </w:r>
          </w:p>
        </w:tc>
        <w:tc>
          <w:tcPr>
            <w:tcW w:w="2398" w:type="dxa"/>
          </w:tcPr>
          <w:p w:rsidR="00C72EAF" w:rsidRPr="00C72EAF" w:rsidRDefault="00C72EAF" w:rsidP="00C72EAF">
            <w:pPr>
              <w:jc w:val="center"/>
              <w:rPr>
                <w:b/>
                <w:bCs/>
              </w:rPr>
            </w:pPr>
            <w:r w:rsidRPr="00C72EAF">
              <w:rPr>
                <w:b/>
                <w:bCs/>
              </w:rPr>
              <w:t>Nhà trẻ</w:t>
            </w:r>
          </w:p>
        </w:tc>
      </w:tr>
      <w:tr w:rsidR="005C280B" w:rsidTr="005C280B">
        <w:tc>
          <w:tcPr>
            <w:tcW w:w="590" w:type="dxa"/>
          </w:tcPr>
          <w:p w:rsidR="005C280B" w:rsidRPr="00C72EAF" w:rsidRDefault="005C280B" w:rsidP="00C72EAF">
            <w:pPr>
              <w:jc w:val="center"/>
              <w:rPr>
                <w:b/>
                <w:bCs/>
              </w:rPr>
            </w:pPr>
            <w:r w:rsidRPr="00C72EAF">
              <w:rPr>
                <w:b/>
                <w:bCs/>
              </w:rPr>
              <w:t>I</w:t>
            </w:r>
          </w:p>
        </w:tc>
        <w:tc>
          <w:tcPr>
            <w:tcW w:w="10069" w:type="dxa"/>
            <w:gridSpan w:val="3"/>
          </w:tcPr>
          <w:p w:rsidR="005C280B" w:rsidRDefault="005C280B">
            <w:r w:rsidRPr="00C72EAF">
              <w:rPr>
                <w:b/>
                <w:bCs/>
              </w:rPr>
              <w:t>Các khoản thu theo quy định (Nghị Quyế</w:t>
            </w:r>
            <w:r w:rsidR="00F47C3A">
              <w:rPr>
                <w:b/>
                <w:bCs/>
              </w:rPr>
              <w:t>t 1</w:t>
            </w:r>
            <w:r w:rsidRPr="00C72EAF">
              <w:rPr>
                <w:b/>
                <w:bCs/>
              </w:rPr>
              <w:t>7</w:t>
            </w:r>
            <w:r w:rsidR="00F47C3A">
              <w:rPr>
                <w:b/>
                <w:bCs/>
              </w:rPr>
              <w:t>/2024</w:t>
            </w:r>
            <w:r w:rsidRPr="00C72EAF">
              <w:rPr>
                <w:b/>
                <w:bCs/>
              </w:rPr>
              <w:t>)</w:t>
            </w:r>
          </w:p>
        </w:tc>
      </w:tr>
      <w:tr w:rsidR="00696DCC" w:rsidTr="003D5328">
        <w:tc>
          <w:tcPr>
            <w:tcW w:w="590" w:type="dxa"/>
            <w:vAlign w:val="center"/>
          </w:tcPr>
          <w:p w:rsidR="00696DCC" w:rsidRDefault="00696DCC" w:rsidP="003D5328">
            <w:pPr>
              <w:jc w:val="center"/>
            </w:pPr>
            <w:r>
              <w:t>1</w:t>
            </w:r>
          </w:p>
        </w:tc>
        <w:tc>
          <w:tcPr>
            <w:tcW w:w="4655" w:type="dxa"/>
            <w:vAlign w:val="center"/>
          </w:tcPr>
          <w:p w:rsidR="00696DCC" w:rsidRDefault="00696DCC" w:rsidP="003D5328">
            <w:pPr>
              <w:jc w:val="left"/>
            </w:pPr>
            <w:r>
              <w:t>Tiền học phí</w:t>
            </w:r>
          </w:p>
        </w:tc>
        <w:tc>
          <w:tcPr>
            <w:tcW w:w="3016" w:type="dxa"/>
          </w:tcPr>
          <w:p w:rsidR="00696DCC" w:rsidRDefault="00696DCC" w:rsidP="00F47C3A">
            <w:pPr>
              <w:jc w:val="left"/>
            </w:pPr>
            <w:r>
              <w:t>105.000đ/trẻ/tháng</w:t>
            </w:r>
          </w:p>
          <w:p w:rsidR="00F47C3A" w:rsidRPr="00F47C3A" w:rsidRDefault="00F47C3A" w:rsidP="00696DCC">
            <w:pPr>
              <w:rPr>
                <w:b/>
                <w:i/>
                <w:sz w:val="24"/>
                <w:szCs w:val="24"/>
              </w:rPr>
            </w:pPr>
            <w:r w:rsidRPr="00F47C3A">
              <w:rPr>
                <w:b/>
                <w:i/>
                <w:sz w:val="24"/>
                <w:szCs w:val="24"/>
              </w:rPr>
              <w:t>* Riêng trẻ  mầm non 05 tuổi được miễn học phí từ năm học 2024 - 2025</w:t>
            </w:r>
          </w:p>
        </w:tc>
        <w:tc>
          <w:tcPr>
            <w:tcW w:w="2398" w:type="dxa"/>
            <w:vAlign w:val="center"/>
          </w:tcPr>
          <w:p w:rsidR="00696DCC" w:rsidRDefault="00696DCC" w:rsidP="003D5328">
            <w:pPr>
              <w:jc w:val="center"/>
            </w:pPr>
            <w:r>
              <w:t>125.000đ/trẻ/tháng</w:t>
            </w:r>
          </w:p>
        </w:tc>
      </w:tr>
      <w:tr w:rsidR="005C280B" w:rsidTr="006A6A77">
        <w:tc>
          <w:tcPr>
            <w:tcW w:w="590" w:type="dxa"/>
          </w:tcPr>
          <w:p w:rsidR="005C280B" w:rsidRPr="00C72EAF" w:rsidRDefault="005C280B" w:rsidP="00696DCC">
            <w:pPr>
              <w:jc w:val="center"/>
              <w:rPr>
                <w:b/>
                <w:bCs/>
              </w:rPr>
            </w:pPr>
            <w:r w:rsidRPr="00C72EAF">
              <w:rPr>
                <w:b/>
                <w:bCs/>
              </w:rPr>
              <w:t>II</w:t>
            </w:r>
          </w:p>
        </w:tc>
        <w:tc>
          <w:tcPr>
            <w:tcW w:w="10069" w:type="dxa"/>
            <w:gridSpan w:val="3"/>
          </w:tcPr>
          <w:p w:rsidR="005C280B" w:rsidRDefault="005C280B" w:rsidP="005C280B">
            <w:r w:rsidRPr="00C72EAF">
              <w:rPr>
                <w:b/>
                <w:bCs/>
              </w:rPr>
              <w:t>Các khoản thu theo thoả thuận</w:t>
            </w:r>
            <w:r>
              <w:rPr>
                <w:b/>
                <w:bCs/>
              </w:rPr>
              <w:t xml:space="preserve"> </w:t>
            </w:r>
            <w:r w:rsidRPr="00C72EAF">
              <w:rPr>
                <w:b/>
                <w:bCs/>
              </w:rPr>
              <w:t>(Nghị quyế</w:t>
            </w:r>
            <w:r w:rsidR="00F47C3A">
              <w:rPr>
                <w:b/>
                <w:bCs/>
              </w:rPr>
              <w:t>t 17/2024</w:t>
            </w:r>
            <w:r w:rsidR="00155868">
              <w:rPr>
                <w:b/>
                <w:bCs/>
              </w:rPr>
              <w:t>/NQ –HĐND ngày 18/10/2024 của HĐND tỉnh Hải Dương</w:t>
            </w:r>
            <w:r w:rsidRPr="00C72EAF">
              <w:rPr>
                <w:b/>
                <w:bCs/>
              </w:rPr>
              <w:t>)</w:t>
            </w:r>
          </w:p>
        </w:tc>
      </w:tr>
      <w:tr w:rsidR="00696DCC" w:rsidTr="00F47C3A">
        <w:tc>
          <w:tcPr>
            <w:tcW w:w="590" w:type="dxa"/>
          </w:tcPr>
          <w:p w:rsidR="00696DCC" w:rsidRPr="00696DCC" w:rsidRDefault="00696DCC" w:rsidP="00696DCC">
            <w:pPr>
              <w:jc w:val="center"/>
            </w:pPr>
            <w:r w:rsidRPr="00696DCC">
              <w:t>1</w:t>
            </w:r>
          </w:p>
        </w:tc>
        <w:tc>
          <w:tcPr>
            <w:tcW w:w="4655" w:type="dxa"/>
          </w:tcPr>
          <w:p w:rsidR="00696DCC" w:rsidRPr="00696DCC" w:rsidRDefault="00696DCC" w:rsidP="00696DCC">
            <w:r w:rsidRPr="00696DCC">
              <w:t>Tiền bán trú</w:t>
            </w:r>
          </w:p>
        </w:tc>
        <w:tc>
          <w:tcPr>
            <w:tcW w:w="3016" w:type="dxa"/>
          </w:tcPr>
          <w:p w:rsidR="00696DCC" w:rsidRDefault="00696DCC" w:rsidP="00696DCC"/>
        </w:tc>
        <w:tc>
          <w:tcPr>
            <w:tcW w:w="2398" w:type="dxa"/>
          </w:tcPr>
          <w:p w:rsidR="00696DCC" w:rsidRDefault="00696DCC" w:rsidP="00696DCC"/>
        </w:tc>
      </w:tr>
      <w:tr w:rsidR="00696DCC" w:rsidTr="008A6650">
        <w:tc>
          <w:tcPr>
            <w:tcW w:w="590" w:type="dxa"/>
          </w:tcPr>
          <w:p w:rsidR="00696DCC" w:rsidRDefault="00696DCC" w:rsidP="00696DCC">
            <w:pPr>
              <w:jc w:val="center"/>
            </w:pPr>
            <w:r>
              <w:t>1.1</w:t>
            </w:r>
          </w:p>
        </w:tc>
        <w:tc>
          <w:tcPr>
            <w:tcW w:w="4655" w:type="dxa"/>
          </w:tcPr>
          <w:p w:rsidR="00696DCC" w:rsidRDefault="00696DCC" w:rsidP="00696DCC">
            <w:r>
              <w:t>Tiền ăn trong ngày</w:t>
            </w:r>
          </w:p>
        </w:tc>
        <w:tc>
          <w:tcPr>
            <w:tcW w:w="3016" w:type="dxa"/>
            <w:vAlign w:val="center"/>
          </w:tcPr>
          <w:p w:rsidR="00696DCC" w:rsidRDefault="00F47C3A" w:rsidP="008A6650">
            <w:pPr>
              <w:jc w:val="center"/>
            </w:pPr>
            <w:r>
              <w:t>20</w:t>
            </w:r>
            <w:r w:rsidR="00696DCC">
              <w:t>.000đ/trẻ/ngày</w:t>
            </w:r>
          </w:p>
        </w:tc>
        <w:tc>
          <w:tcPr>
            <w:tcW w:w="2398" w:type="dxa"/>
            <w:vAlign w:val="center"/>
          </w:tcPr>
          <w:p w:rsidR="00696DCC" w:rsidRDefault="00696DCC" w:rsidP="008A6650">
            <w:pPr>
              <w:jc w:val="center"/>
            </w:pPr>
            <w:r>
              <w:t>1</w:t>
            </w:r>
            <w:r w:rsidR="00F47C3A">
              <w:t>7</w:t>
            </w:r>
            <w:r>
              <w:t>.000đ/trẻ/ngày</w:t>
            </w:r>
          </w:p>
        </w:tc>
      </w:tr>
      <w:tr w:rsidR="00696DCC" w:rsidTr="008A6650">
        <w:tc>
          <w:tcPr>
            <w:tcW w:w="590" w:type="dxa"/>
            <w:vAlign w:val="center"/>
          </w:tcPr>
          <w:p w:rsidR="00696DCC" w:rsidRDefault="00696DCC" w:rsidP="008A6650">
            <w:pPr>
              <w:jc w:val="center"/>
            </w:pPr>
            <w:r>
              <w:t>1.2</w:t>
            </w:r>
          </w:p>
        </w:tc>
        <w:tc>
          <w:tcPr>
            <w:tcW w:w="4655" w:type="dxa"/>
          </w:tcPr>
          <w:p w:rsidR="00696DCC" w:rsidRDefault="00696DCC" w:rsidP="008A6650">
            <w:r>
              <w:t>Tiền ăn sáng</w:t>
            </w:r>
            <w:r w:rsidR="00F47C3A">
              <w:t>(Bao gồm phụ</w:t>
            </w:r>
            <w:r w:rsidR="008A6650">
              <w:t xml:space="preserve"> phí; dịch vụ chăm sóc, phục vụ bán trú, dịch vụ trang thiết bị) </w:t>
            </w:r>
          </w:p>
        </w:tc>
        <w:tc>
          <w:tcPr>
            <w:tcW w:w="3016" w:type="dxa"/>
            <w:vAlign w:val="center"/>
          </w:tcPr>
          <w:p w:rsidR="00696DCC" w:rsidRDefault="00F47C3A" w:rsidP="008A6650">
            <w:pPr>
              <w:jc w:val="center"/>
            </w:pPr>
            <w:r>
              <w:t>8</w:t>
            </w:r>
            <w:r w:rsidR="00696DCC">
              <w:t>.000đ/trẻ/bữa</w:t>
            </w:r>
          </w:p>
        </w:tc>
        <w:tc>
          <w:tcPr>
            <w:tcW w:w="2398" w:type="dxa"/>
            <w:vAlign w:val="center"/>
          </w:tcPr>
          <w:p w:rsidR="00696DCC" w:rsidRDefault="00F47C3A" w:rsidP="008A6650">
            <w:pPr>
              <w:jc w:val="center"/>
            </w:pPr>
            <w:r>
              <w:t>8</w:t>
            </w:r>
            <w:r w:rsidR="00696DCC">
              <w:t>.000đ/trẻ/bữa</w:t>
            </w:r>
          </w:p>
        </w:tc>
      </w:tr>
      <w:tr w:rsidR="00696DCC" w:rsidTr="008A6650">
        <w:tc>
          <w:tcPr>
            <w:tcW w:w="590" w:type="dxa"/>
            <w:vAlign w:val="center"/>
          </w:tcPr>
          <w:p w:rsidR="00696DCC" w:rsidRPr="00696DCC" w:rsidRDefault="00696DCC" w:rsidP="008A6650">
            <w:pPr>
              <w:jc w:val="center"/>
            </w:pPr>
            <w:r w:rsidRPr="00696DCC">
              <w:t>2</w:t>
            </w:r>
          </w:p>
        </w:tc>
        <w:tc>
          <w:tcPr>
            <w:tcW w:w="4655" w:type="dxa"/>
          </w:tcPr>
          <w:p w:rsidR="00696DCC" w:rsidRPr="00696DCC" w:rsidRDefault="00696DCC" w:rsidP="00696DCC">
            <w:r w:rsidRPr="00696DCC">
              <w:t>Tiền chăm sóc phục vụ bán trú (trả người nấu ăn</w:t>
            </w:r>
            <w:r w:rsidR="00F47C3A">
              <w:t>, nhân viên cấp dưỡng</w:t>
            </w:r>
            <w:r w:rsidRPr="00696DCC">
              <w:t>, trông trưa, quản lý</w:t>
            </w:r>
            <w:r w:rsidR="00F47C3A">
              <w:t>)</w:t>
            </w:r>
          </w:p>
        </w:tc>
        <w:tc>
          <w:tcPr>
            <w:tcW w:w="3016" w:type="dxa"/>
            <w:vAlign w:val="center"/>
          </w:tcPr>
          <w:p w:rsidR="00696DCC" w:rsidRPr="00696DCC" w:rsidRDefault="00F47C3A" w:rsidP="00696DCC">
            <w:pPr>
              <w:jc w:val="center"/>
            </w:pPr>
            <w:r>
              <w:t>270</w:t>
            </w:r>
            <w:r w:rsidR="00696DCC" w:rsidRPr="00696DCC">
              <w:t>.000đ/trẻ/tháng</w:t>
            </w:r>
          </w:p>
        </w:tc>
        <w:tc>
          <w:tcPr>
            <w:tcW w:w="2398" w:type="dxa"/>
            <w:vAlign w:val="center"/>
          </w:tcPr>
          <w:p w:rsidR="00696DCC" w:rsidRPr="00696DCC" w:rsidRDefault="00F47C3A" w:rsidP="00696DCC">
            <w:pPr>
              <w:jc w:val="center"/>
            </w:pPr>
            <w:r>
              <w:t>270</w:t>
            </w:r>
            <w:r w:rsidR="00696DCC" w:rsidRPr="00696DCC">
              <w:t>.000đ/trẻ/tháng</w:t>
            </w:r>
          </w:p>
        </w:tc>
      </w:tr>
      <w:tr w:rsidR="00696DCC" w:rsidTr="008A6650">
        <w:tc>
          <w:tcPr>
            <w:tcW w:w="590" w:type="dxa"/>
            <w:vAlign w:val="center"/>
          </w:tcPr>
          <w:p w:rsidR="00696DCC" w:rsidRPr="00696DCC" w:rsidRDefault="00696DCC" w:rsidP="008A6650">
            <w:pPr>
              <w:jc w:val="center"/>
            </w:pPr>
            <w:r w:rsidRPr="00696DCC">
              <w:t>3</w:t>
            </w:r>
          </w:p>
        </w:tc>
        <w:tc>
          <w:tcPr>
            <w:tcW w:w="4655" w:type="dxa"/>
          </w:tcPr>
          <w:p w:rsidR="00696DCC" w:rsidRPr="00696DCC" w:rsidRDefault="00696DCC" w:rsidP="00696DCC">
            <w:r w:rsidRPr="00696DCC">
              <w:t>Tiền phụ phí (chất đốt, điện, nước phục vụ bán trú, nước tẩy, rửa)</w:t>
            </w:r>
            <w:r>
              <w:t>.</w:t>
            </w:r>
          </w:p>
        </w:tc>
        <w:tc>
          <w:tcPr>
            <w:tcW w:w="3016" w:type="dxa"/>
            <w:vAlign w:val="center"/>
          </w:tcPr>
          <w:p w:rsidR="00696DCC" w:rsidRPr="00696DCC" w:rsidRDefault="00696DCC" w:rsidP="00696DCC">
            <w:pPr>
              <w:jc w:val="center"/>
            </w:pPr>
            <w:r w:rsidRPr="00696DCC">
              <w:t>35.000đ/trẻ/tháng</w:t>
            </w:r>
          </w:p>
        </w:tc>
        <w:tc>
          <w:tcPr>
            <w:tcW w:w="2398" w:type="dxa"/>
            <w:vAlign w:val="center"/>
          </w:tcPr>
          <w:p w:rsidR="00696DCC" w:rsidRPr="00696DCC" w:rsidRDefault="00696DCC" w:rsidP="00696DCC">
            <w:pPr>
              <w:jc w:val="center"/>
            </w:pPr>
            <w:r w:rsidRPr="00696DCC">
              <w:t>35.000đ/trẻ/tháng</w:t>
            </w:r>
          </w:p>
        </w:tc>
      </w:tr>
      <w:tr w:rsidR="00696DCC" w:rsidTr="008A6650">
        <w:tc>
          <w:tcPr>
            <w:tcW w:w="590" w:type="dxa"/>
            <w:vAlign w:val="center"/>
          </w:tcPr>
          <w:p w:rsidR="00696DCC" w:rsidRDefault="00F47C3A" w:rsidP="008A6650">
            <w:pPr>
              <w:jc w:val="center"/>
            </w:pPr>
            <w:r>
              <w:t>4</w:t>
            </w:r>
          </w:p>
        </w:tc>
        <w:tc>
          <w:tcPr>
            <w:tcW w:w="4655" w:type="dxa"/>
          </w:tcPr>
          <w:p w:rsidR="00696DCC" w:rsidRDefault="00696DCC" w:rsidP="00696DCC">
            <w:r>
              <w:t xml:space="preserve">Tiền mua sắm </w:t>
            </w:r>
            <w:r w:rsidR="008A6650">
              <w:t xml:space="preserve">trang thiết bị phục vụ bán trú (công cụ, </w:t>
            </w:r>
            <w:r>
              <w:t xml:space="preserve">dụng cụ, đồ dùng phục vụ nấu ăn và đồ dùng cá nhân </w:t>
            </w:r>
            <w:r w:rsidR="008A6650">
              <w:t xml:space="preserve">phục vụ </w:t>
            </w:r>
            <w:r>
              <w:t>cho trẻ bán trú lần đầ</w:t>
            </w:r>
            <w:r w:rsidR="008A6650">
              <w:t xml:space="preserve">u) </w:t>
            </w:r>
            <w:r w:rsidRPr="008A6650">
              <w:rPr>
                <w:iCs/>
              </w:rPr>
              <w:t>từ thời điểm trẻ ăn bán trú đến hết khoá họ</w:t>
            </w:r>
            <w:r w:rsidR="008A6650">
              <w:rPr>
                <w:iCs/>
              </w:rPr>
              <w:t>c.</w:t>
            </w:r>
          </w:p>
        </w:tc>
        <w:tc>
          <w:tcPr>
            <w:tcW w:w="3016" w:type="dxa"/>
            <w:vAlign w:val="center"/>
          </w:tcPr>
          <w:p w:rsidR="00696DCC" w:rsidRDefault="00696DCC" w:rsidP="007A779B">
            <w:pPr>
              <w:jc w:val="center"/>
            </w:pPr>
            <w:r>
              <w:t>200.000đ/trẻ</w:t>
            </w:r>
          </w:p>
        </w:tc>
        <w:tc>
          <w:tcPr>
            <w:tcW w:w="2398" w:type="dxa"/>
            <w:vAlign w:val="center"/>
          </w:tcPr>
          <w:p w:rsidR="00696DCC" w:rsidRDefault="00696DCC" w:rsidP="007A779B">
            <w:pPr>
              <w:jc w:val="center"/>
            </w:pPr>
            <w:r>
              <w:t>200.000đ/trẻ</w:t>
            </w:r>
          </w:p>
        </w:tc>
      </w:tr>
      <w:tr w:rsidR="00696DCC" w:rsidTr="00F47C3A">
        <w:tc>
          <w:tcPr>
            <w:tcW w:w="590" w:type="dxa"/>
            <w:vAlign w:val="center"/>
          </w:tcPr>
          <w:p w:rsidR="00696DCC" w:rsidRDefault="00F47C3A" w:rsidP="007A779B">
            <w:pPr>
              <w:jc w:val="center"/>
            </w:pPr>
            <w:r>
              <w:t>5</w:t>
            </w:r>
          </w:p>
        </w:tc>
        <w:tc>
          <w:tcPr>
            <w:tcW w:w="4655" w:type="dxa"/>
          </w:tcPr>
          <w:p w:rsidR="00696DCC" w:rsidRDefault="00696DCC" w:rsidP="00696DCC">
            <w:r>
              <w:t xml:space="preserve">Tiền </w:t>
            </w:r>
            <w:r w:rsidR="00E63948">
              <w:t>vệ sinh trường, lớp, nhà vệ sinh (Bao gồm tiền lao công, dụng cụ vệ sinh, giấy vệ sinh, nước tẩy, rửa, lau sàn)</w:t>
            </w:r>
          </w:p>
        </w:tc>
        <w:tc>
          <w:tcPr>
            <w:tcW w:w="3016" w:type="dxa"/>
            <w:vAlign w:val="center"/>
          </w:tcPr>
          <w:p w:rsidR="00696DCC" w:rsidRDefault="00F47C3A" w:rsidP="007A779B">
            <w:pPr>
              <w:jc w:val="center"/>
            </w:pPr>
            <w:r>
              <w:t>25</w:t>
            </w:r>
            <w:r w:rsidR="00E63948">
              <w:t>.000đ/trẻ/tháng</w:t>
            </w:r>
          </w:p>
        </w:tc>
        <w:tc>
          <w:tcPr>
            <w:tcW w:w="2398" w:type="dxa"/>
            <w:vAlign w:val="center"/>
          </w:tcPr>
          <w:p w:rsidR="00696DCC" w:rsidRDefault="00E63948" w:rsidP="00F47C3A">
            <w:pPr>
              <w:jc w:val="center"/>
            </w:pPr>
            <w:r>
              <w:t>2</w:t>
            </w:r>
            <w:r w:rsidR="00F47C3A">
              <w:t>5</w:t>
            </w:r>
            <w:r>
              <w:t>.000đ/trẻ/tháng</w:t>
            </w:r>
          </w:p>
        </w:tc>
      </w:tr>
      <w:tr w:rsidR="00E63948" w:rsidTr="00F47C3A">
        <w:tc>
          <w:tcPr>
            <w:tcW w:w="590" w:type="dxa"/>
            <w:vAlign w:val="center"/>
          </w:tcPr>
          <w:p w:rsidR="00E63948" w:rsidRDefault="00F47C3A" w:rsidP="007A779B">
            <w:pPr>
              <w:jc w:val="center"/>
            </w:pPr>
            <w:r>
              <w:t>6</w:t>
            </w:r>
          </w:p>
        </w:tc>
        <w:tc>
          <w:tcPr>
            <w:tcW w:w="4655" w:type="dxa"/>
          </w:tcPr>
          <w:p w:rsidR="00E63948" w:rsidRDefault="00E63948" w:rsidP="003D5328">
            <w:r>
              <w:t xml:space="preserve">Tiền điện sử dụng điều hoà (Cuối tháng đại diện cha mẹ phụ huynh của </w:t>
            </w:r>
            <w:r w:rsidR="003D5328">
              <w:t xml:space="preserve">từng </w:t>
            </w:r>
            <w:r>
              <w:t xml:space="preserve">lớp cùng giáo viên </w:t>
            </w:r>
            <w:r w:rsidR="003D5328">
              <w:t xml:space="preserve">của lớp </w:t>
            </w:r>
            <w:r>
              <w:t xml:space="preserve">chốt số công tơ điện trên đồng hồ riêng </w:t>
            </w:r>
            <w:r w:rsidR="003D5328">
              <w:t xml:space="preserve">nhân với đơn giá và chia </w:t>
            </w:r>
            <w:r w:rsidR="007A779B">
              <w:t>số trẻ của lớp để thanh toán cho HTX dịch vụ điện)</w:t>
            </w:r>
          </w:p>
        </w:tc>
        <w:tc>
          <w:tcPr>
            <w:tcW w:w="3016" w:type="dxa"/>
            <w:vAlign w:val="center"/>
          </w:tcPr>
          <w:p w:rsidR="00E63948" w:rsidRDefault="00E63948" w:rsidP="00E63948">
            <w:pPr>
              <w:jc w:val="center"/>
            </w:pPr>
          </w:p>
        </w:tc>
        <w:tc>
          <w:tcPr>
            <w:tcW w:w="2398" w:type="dxa"/>
            <w:vAlign w:val="center"/>
          </w:tcPr>
          <w:p w:rsidR="00E63948" w:rsidRDefault="00E63948" w:rsidP="00E63948">
            <w:pPr>
              <w:jc w:val="center"/>
            </w:pPr>
          </w:p>
        </w:tc>
      </w:tr>
      <w:tr w:rsidR="005C280B" w:rsidTr="005C280B">
        <w:tc>
          <w:tcPr>
            <w:tcW w:w="590" w:type="dxa"/>
          </w:tcPr>
          <w:p w:rsidR="005C280B" w:rsidRPr="00961BD9" w:rsidRDefault="005C280B" w:rsidP="00696DCC">
            <w:pPr>
              <w:jc w:val="center"/>
              <w:rPr>
                <w:b/>
                <w:bCs/>
              </w:rPr>
            </w:pPr>
            <w:r w:rsidRPr="00961BD9">
              <w:rPr>
                <w:b/>
                <w:bCs/>
              </w:rPr>
              <w:t>III</w:t>
            </w:r>
          </w:p>
        </w:tc>
        <w:tc>
          <w:tcPr>
            <w:tcW w:w="10069" w:type="dxa"/>
            <w:gridSpan w:val="3"/>
            <w:vAlign w:val="center"/>
          </w:tcPr>
          <w:p w:rsidR="005C280B" w:rsidRDefault="005C280B" w:rsidP="005C280B">
            <w:pPr>
              <w:jc w:val="left"/>
            </w:pPr>
            <w:r w:rsidRPr="00961BD9">
              <w:rPr>
                <w:b/>
                <w:bCs/>
              </w:rPr>
              <w:t>Các khoản thu tự nguyện</w:t>
            </w:r>
          </w:p>
        </w:tc>
      </w:tr>
      <w:tr w:rsidR="007A779B" w:rsidTr="005C280B">
        <w:tc>
          <w:tcPr>
            <w:tcW w:w="590" w:type="dxa"/>
          </w:tcPr>
          <w:p w:rsidR="007A779B" w:rsidRDefault="007A779B" w:rsidP="00696DCC">
            <w:pPr>
              <w:jc w:val="center"/>
            </w:pPr>
            <w:r>
              <w:t>1</w:t>
            </w:r>
          </w:p>
        </w:tc>
        <w:tc>
          <w:tcPr>
            <w:tcW w:w="10069" w:type="dxa"/>
            <w:gridSpan w:val="3"/>
            <w:vAlign w:val="center"/>
          </w:tcPr>
          <w:p w:rsidR="007A779B" w:rsidRDefault="007A779B" w:rsidP="007A779B">
            <w:pPr>
              <w:jc w:val="left"/>
            </w:pPr>
            <w:r>
              <w:t>Kinh phí hoạt động của Ban đại diện CMHS: Thực hiện theo thông tư 55/BGD &amp; ĐT</w:t>
            </w:r>
          </w:p>
        </w:tc>
      </w:tr>
      <w:tr w:rsidR="007A779B" w:rsidTr="00A34C35">
        <w:tc>
          <w:tcPr>
            <w:tcW w:w="590" w:type="dxa"/>
            <w:vAlign w:val="center"/>
          </w:tcPr>
          <w:p w:rsidR="007A779B" w:rsidRDefault="007A779B" w:rsidP="00A34C35">
            <w:pPr>
              <w:jc w:val="center"/>
            </w:pPr>
            <w:r>
              <w:t>2</w:t>
            </w:r>
          </w:p>
        </w:tc>
        <w:tc>
          <w:tcPr>
            <w:tcW w:w="10069" w:type="dxa"/>
            <w:gridSpan w:val="3"/>
            <w:vAlign w:val="center"/>
          </w:tcPr>
          <w:p w:rsidR="007A779B" w:rsidRDefault="007A779B" w:rsidP="00A34C35">
            <w:r>
              <w:t>Tiền bảo hiểm thân thể</w:t>
            </w:r>
            <w:r w:rsidR="00155868">
              <w:t xml:space="preserve"> (Thu hộ)</w:t>
            </w:r>
            <w:r>
              <w:t>: Tự nguyện theo mức thu của công ty bảo hiểm</w:t>
            </w:r>
            <w:r w:rsidR="00155868">
              <w:t xml:space="preserve"> 200.000đ/trẻ/năm.</w:t>
            </w:r>
          </w:p>
        </w:tc>
      </w:tr>
      <w:tr w:rsidR="003D5328" w:rsidTr="005C280B">
        <w:tc>
          <w:tcPr>
            <w:tcW w:w="590" w:type="dxa"/>
          </w:tcPr>
          <w:p w:rsidR="003D5328" w:rsidRDefault="003D5328" w:rsidP="00696DCC">
            <w:pPr>
              <w:jc w:val="center"/>
            </w:pPr>
            <w:r>
              <w:t>3</w:t>
            </w:r>
          </w:p>
        </w:tc>
        <w:tc>
          <w:tcPr>
            <w:tcW w:w="10069" w:type="dxa"/>
            <w:gridSpan w:val="3"/>
            <w:vAlign w:val="center"/>
          </w:tcPr>
          <w:p w:rsidR="003D5328" w:rsidRDefault="003D5328" w:rsidP="007A779B">
            <w:pPr>
              <w:jc w:val="left"/>
            </w:pPr>
            <w:r>
              <w:t>Tiền tài trợ, viện trợ: Tự nguyện theo thông tư 16</w:t>
            </w:r>
            <w:r w:rsidR="00D166DD">
              <w:t>/2018</w:t>
            </w:r>
            <w:r w:rsidR="00D166DD" w:rsidRPr="00523078">
              <w:rPr>
                <w:rFonts w:eastAsia="Times New Roman" w:cs="Times New Roman"/>
                <w:color w:val="000000"/>
                <w:szCs w:val="28"/>
                <w:lang w:eastAsia="vi-VN"/>
              </w:rPr>
              <w:t>/TT-BGDĐT</w:t>
            </w:r>
          </w:p>
        </w:tc>
      </w:tr>
    </w:tbl>
    <w:p w:rsidR="00155868" w:rsidRDefault="00155868"/>
    <w:sectPr w:rsidR="00155868" w:rsidSect="00961BD9">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72EAF"/>
    <w:rsid w:val="00155868"/>
    <w:rsid w:val="001E42CD"/>
    <w:rsid w:val="003D5328"/>
    <w:rsid w:val="005C280B"/>
    <w:rsid w:val="00696DCC"/>
    <w:rsid w:val="007A779B"/>
    <w:rsid w:val="008A6650"/>
    <w:rsid w:val="00961BD9"/>
    <w:rsid w:val="009B7FCF"/>
    <w:rsid w:val="00A34C35"/>
    <w:rsid w:val="00B215C6"/>
    <w:rsid w:val="00C35EC0"/>
    <w:rsid w:val="00C72EAF"/>
    <w:rsid w:val="00CF600E"/>
    <w:rsid w:val="00D166DD"/>
    <w:rsid w:val="00E63948"/>
    <w:rsid w:val="00F47C3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55326B48-CF3C-43E6-8F15-CEBD6559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0E"/>
  </w:style>
  <w:style w:type="paragraph" w:styleId="Heading1">
    <w:name w:val="heading 1"/>
    <w:next w:val="Normal"/>
    <w:link w:val="Heading1Char"/>
    <w:uiPriority w:val="9"/>
    <w:qFormat/>
    <w:rsid w:val="009B7FCF"/>
    <w:pPr>
      <w:keepNext/>
      <w:keepLines/>
      <w:spacing w:after="2" w:line="262" w:lineRule="auto"/>
      <w:ind w:left="10" w:right="6" w:hanging="10"/>
      <w:jc w:val="left"/>
      <w:outlineLvl w:val="0"/>
    </w:pPr>
    <w:rPr>
      <w:rFonts w:eastAsia="Times New Roman" w:cs="Times New Roman"/>
      <w:b/>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328"/>
    <w:rPr>
      <w:rFonts w:ascii="Segoe UI" w:hAnsi="Segoe UI" w:cs="Segoe UI"/>
      <w:sz w:val="18"/>
      <w:szCs w:val="18"/>
    </w:rPr>
  </w:style>
  <w:style w:type="character" w:customStyle="1" w:styleId="Heading1Char">
    <w:name w:val="Heading 1 Char"/>
    <w:basedOn w:val="DefaultParagraphFont"/>
    <w:link w:val="Heading1"/>
    <w:uiPriority w:val="9"/>
    <w:rsid w:val="009B7FCF"/>
    <w:rPr>
      <w:rFonts w:eastAsia="Times New Roman" w:cs="Times New Roman"/>
      <w:b/>
      <w:color w:val="000000"/>
      <w:lang w:val="vi-VN" w:eastAsia="vi-VN"/>
    </w:rPr>
  </w:style>
  <w:style w:type="table" w:customStyle="1" w:styleId="TableGrid0">
    <w:name w:val="TableGrid"/>
    <w:rsid w:val="009B7FCF"/>
    <w:pPr>
      <w:jc w:val="left"/>
    </w:pPr>
    <w:rPr>
      <w:rFonts w:asciiTheme="minorHAnsi" w:eastAsiaTheme="minorEastAsia" w:hAnsiTheme="minorHAnsi"/>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Đượm Nhữ</dc:creator>
  <cp:keywords/>
  <dc:description/>
  <cp:lastModifiedBy>GIGABYTE</cp:lastModifiedBy>
  <cp:revision>6</cp:revision>
  <cp:lastPrinted>2024-11-28T09:08:00Z</cp:lastPrinted>
  <dcterms:created xsi:type="dcterms:W3CDTF">2023-10-06T06:50:00Z</dcterms:created>
  <dcterms:modified xsi:type="dcterms:W3CDTF">2025-02-10T08:02:00Z</dcterms:modified>
</cp:coreProperties>
</file>